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w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E0AA7" w:rsidRPr="001D4347" w:rsidRDefault="008E0AA7" w:rsidP="008E0AA7">
      <w:pPr>
        <w:jc w:val="center"/>
        <w:rPr>
          <w:rFonts w:ascii="Times New Roman" w:hAnsi="Times New Roman"/>
          <w:sz w:val="24"/>
          <w:szCs w:val="24"/>
        </w:rPr>
      </w:pPr>
    </w:p>
    <w:p w:rsidR="008E0AA7" w:rsidRPr="001D4347" w:rsidRDefault="008E0AA7" w:rsidP="008E0AA7">
      <w:pPr>
        <w:jc w:val="center"/>
        <w:rPr>
          <w:rFonts w:ascii="Times New Roman" w:hAnsi="Times New Roman"/>
          <w:sz w:val="24"/>
          <w:szCs w:val="24"/>
        </w:rPr>
      </w:pPr>
    </w:p>
    <w:p w:rsidR="008E0AA7" w:rsidRPr="001D4347" w:rsidRDefault="008E0AA7" w:rsidP="008E0AA7">
      <w:pPr>
        <w:jc w:val="center"/>
        <w:rPr>
          <w:rFonts w:ascii="Times New Roman" w:hAnsi="Times New Roman"/>
          <w:sz w:val="24"/>
          <w:szCs w:val="24"/>
        </w:rPr>
      </w:pPr>
    </w:p>
    <w:p w:rsidR="008E0AA7" w:rsidRPr="001D4347" w:rsidRDefault="008E0AA7" w:rsidP="008E0AA7">
      <w:pPr>
        <w:jc w:val="center"/>
        <w:rPr>
          <w:rFonts w:ascii="Times New Roman" w:hAnsi="Times New Roman"/>
          <w:sz w:val="24"/>
          <w:szCs w:val="24"/>
        </w:rPr>
      </w:pPr>
    </w:p>
    <w:p w:rsidR="008E0AA7" w:rsidRPr="001D4347" w:rsidRDefault="008E0AA7" w:rsidP="008E0AA7">
      <w:pPr>
        <w:jc w:val="center"/>
        <w:rPr>
          <w:rFonts w:ascii="Times New Roman" w:hAnsi="Times New Roman"/>
          <w:sz w:val="24"/>
          <w:szCs w:val="24"/>
        </w:rPr>
      </w:pPr>
    </w:p>
    <w:p w:rsidR="008E0AA7" w:rsidRPr="001D4347" w:rsidRDefault="008E0AA7" w:rsidP="008E0AA7">
      <w:pPr>
        <w:jc w:val="center"/>
        <w:rPr>
          <w:rFonts w:ascii="Times New Roman" w:hAnsi="Times New Roman"/>
          <w:sz w:val="24"/>
          <w:szCs w:val="24"/>
        </w:rPr>
      </w:pPr>
    </w:p>
    <w:p w:rsidR="008E0AA7" w:rsidRPr="001D4347" w:rsidRDefault="008E0AA7" w:rsidP="008E0AA7">
      <w:pPr>
        <w:jc w:val="center"/>
        <w:rPr>
          <w:rFonts w:ascii="Times New Roman" w:hAnsi="Times New Roman"/>
          <w:sz w:val="24"/>
          <w:szCs w:val="24"/>
        </w:rPr>
      </w:pPr>
    </w:p>
    <w:p w:rsidR="00CC432F" w:rsidRPr="001D4347" w:rsidRDefault="008E0AA7" w:rsidP="008E0AA7">
      <w:pPr>
        <w:jc w:val="center"/>
        <w:rPr>
          <w:rFonts w:ascii="Times New Roman" w:hAnsi="Times New Roman"/>
          <w:sz w:val="24"/>
          <w:szCs w:val="24"/>
        </w:rPr>
      </w:pPr>
      <w:r w:rsidRPr="001D4347">
        <w:rPr>
          <w:rFonts w:ascii="Times New Roman" w:hAnsi="Times New Roman"/>
          <w:sz w:val="24"/>
          <w:szCs w:val="24"/>
        </w:rPr>
        <w:t>Assignment</w:t>
      </w:r>
      <w:r w:rsidR="00F96F74">
        <w:rPr>
          <w:rFonts w:ascii="Times New Roman" w:hAnsi="Times New Roman"/>
          <w:sz w:val="24"/>
          <w:szCs w:val="24"/>
        </w:rPr>
        <w:t xml:space="preserve"> T</w:t>
      </w:r>
      <w:r w:rsidRPr="001D4347">
        <w:rPr>
          <w:rFonts w:ascii="Times New Roman" w:hAnsi="Times New Roman"/>
          <w:sz w:val="24"/>
          <w:szCs w:val="24"/>
        </w:rPr>
        <w:t>itle</w:t>
      </w:r>
    </w:p>
    <w:p w:rsidR="008E0AA7" w:rsidRPr="001D4347" w:rsidRDefault="008E0AA7" w:rsidP="008E0AA7">
      <w:pPr>
        <w:jc w:val="center"/>
        <w:rPr>
          <w:rFonts w:ascii="Times New Roman" w:hAnsi="Times New Roman"/>
          <w:sz w:val="24"/>
          <w:szCs w:val="24"/>
        </w:rPr>
      </w:pPr>
      <w:r w:rsidRPr="001D4347">
        <w:rPr>
          <w:rFonts w:ascii="Times New Roman" w:hAnsi="Times New Roman"/>
          <w:sz w:val="24"/>
          <w:szCs w:val="24"/>
        </w:rPr>
        <w:t>Name</w:t>
      </w:r>
    </w:p>
    <w:p w:rsidR="008E0AA7" w:rsidRPr="001D4347" w:rsidRDefault="008E0AA7" w:rsidP="008E0AA7">
      <w:pPr>
        <w:jc w:val="center"/>
        <w:rPr>
          <w:rFonts w:ascii="Times New Roman" w:hAnsi="Times New Roman"/>
          <w:sz w:val="24"/>
          <w:szCs w:val="24"/>
        </w:rPr>
      </w:pPr>
      <w:r w:rsidRPr="001D4347">
        <w:rPr>
          <w:rFonts w:ascii="Times New Roman" w:hAnsi="Times New Roman"/>
          <w:sz w:val="24"/>
          <w:szCs w:val="24"/>
        </w:rPr>
        <w:t>Course</w:t>
      </w:r>
    </w:p>
    <w:p w:rsidR="008E0AA7" w:rsidRPr="001D4347" w:rsidRDefault="008E0AA7" w:rsidP="008E0AA7">
      <w:pPr>
        <w:jc w:val="center"/>
        <w:rPr>
          <w:rFonts w:ascii="Times New Roman" w:hAnsi="Times New Roman"/>
          <w:sz w:val="24"/>
          <w:szCs w:val="24"/>
        </w:rPr>
      </w:pPr>
      <w:r w:rsidRPr="001D4347">
        <w:rPr>
          <w:rFonts w:ascii="Times New Roman" w:hAnsi="Times New Roman"/>
          <w:sz w:val="24"/>
          <w:szCs w:val="24"/>
        </w:rPr>
        <w:t>Institution</w:t>
      </w:r>
    </w:p>
    <w:p w:rsidR="008E0AA7" w:rsidRPr="001D4347" w:rsidRDefault="008E0AA7" w:rsidP="008E0AA7">
      <w:pPr>
        <w:jc w:val="center"/>
        <w:rPr>
          <w:rFonts w:ascii="Times New Roman" w:hAnsi="Times New Roman"/>
          <w:sz w:val="24"/>
          <w:szCs w:val="24"/>
        </w:rPr>
      </w:pPr>
      <w:r w:rsidRPr="001D4347">
        <w:rPr>
          <w:rFonts w:ascii="Times New Roman" w:hAnsi="Times New Roman"/>
          <w:sz w:val="24"/>
          <w:szCs w:val="24"/>
        </w:rPr>
        <w:t>Instructor</w:t>
      </w:r>
    </w:p>
    <w:p w:rsidR="008E0AA7" w:rsidRPr="001D4347" w:rsidRDefault="008E0AA7" w:rsidP="008E0AA7">
      <w:pPr>
        <w:jc w:val="center"/>
        <w:rPr>
          <w:rFonts w:ascii="Times New Roman" w:hAnsi="Times New Roman"/>
          <w:sz w:val="24"/>
          <w:szCs w:val="24"/>
        </w:rPr>
      </w:pPr>
      <w:r w:rsidRPr="001D4347">
        <w:rPr>
          <w:rFonts w:ascii="Times New Roman" w:hAnsi="Times New Roman"/>
          <w:sz w:val="24"/>
          <w:szCs w:val="24"/>
        </w:rPr>
        <w:t>Date</w:t>
      </w:r>
    </w:p>
    <w:p w:rsidR="00840080" w:rsidRPr="001D4347" w:rsidRDefault="00840080" w:rsidP="008E0AA7">
      <w:pPr>
        <w:jc w:val="center"/>
        <w:rPr>
          <w:rFonts w:ascii="Times New Roman" w:hAnsi="Times New Roman"/>
          <w:sz w:val="24"/>
          <w:szCs w:val="24"/>
        </w:rPr>
      </w:pPr>
    </w:p>
    <w:p w:rsidR="00840080" w:rsidRPr="001D4347" w:rsidRDefault="00840080" w:rsidP="008E0AA7">
      <w:pPr>
        <w:jc w:val="center"/>
        <w:rPr>
          <w:rFonts w:ascii="Times New Roman" w:hAnsi="Times New Roman"/>
          <w:sz w:val="24"/>
          <w:szCs w:val="24"/>
        </w:rPr>
      </w:pPr>
    </w:p>
    <w:p w:rsidR="00840080" w:rsidRPr="001D4347" w:rsidRDefault="00840080" w:rsidP="008E0AA7">
      <w:pPr>
        <w:jc w:val="center"/>
        <w:rPr>
          <w:rFonts w:ascii="Times New Roman" w:hAnsi="Times New Roman"/>
          <w:sz w:val="24"/>
          <w:szCs w:val="24"/>
        </w:rPr>
      </w:pPr>
    </w:p>
    <w:p w:rsidR="00840080" w:rsidRPr="001D4347" w:rsidRDefault="00840080" w:rsidP="008E0AA7">
      <w:pPr>
        <w:jc w:val="center"/>
        <w:rPr>
          <w:rFonts w:ascii="Times New Roman" w:hAnsi="Times New Roman"/>
          <w:sz w:val="24"/>
          <w:szCs w:val="24"/>
        </w:rPr>
      </w:pPr>
    </w:p>
    <w:tbl>
      <w:tblPr>
        <w:tblW w:w="1586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113"/>
        <w:gridCol w:w="1931"/>
        <w:gridCol w:w="113"/>
        <w:gridCol w:w="1623"/>
        <w:gridCol w:w="113"/>
        <w:gridCol w:w="1327"/>
        <w:gridCol w:w="113"/>
        <w:gridCol w:w="1327"/>
        <w:gridCol w:w="113"/>
        <w:gridCol w:w="1237"/>
        <w:gridCol w:w="113"/>
        <w:gridCol w:w="3487"/>
        <w:gridCol w:w="113"/>
      </w:tblGrid>
      <w:tr w:rsidR="008F7A86" w:rsidRPr="001D4347" w:rsidTr="00CC432F">
        <w:trPr>
          <w:gridAfter w:val="1"/>
          <w:wAfter w:w="113" w:type="dxa"/>
        </w:trPr>
        <w:tc>
          <w:tcPr>
            <w:tcW w:w="4140" w:type="dxa"/>
            <w:shd w:val="clear" w:color="auto" w:fill="auto"/>
          </w:tcPr>
          <w:p w:rsidR="008F7A86" w:rsidRPr="001D4347" w:rsidRDefault="008F7A86" w:rsidP="00CC432F">
            <w:pPr>
              <w:spacing w:line="240" w:lineRule="auto"/>
              <w:rPr>
                <w:rFonts w:ascii="Times New Roman" w:hAnsi="Times New Roman"/>
                <w:b/>
                <w:sz w:val="24"/>
                <w:szCs w:val="24"/>
              </w:rPr>
            </w:pPr>
            <w:r w:rsidRPr="001D4347">
              <w:rPr>
                <w:rFonts w:ascii="Times New Roman" w:hAnsi="Times New Roman"/>
                <w:b/>
                <w:sz w:val="24"/>
                <w:szCs w:val="24"/>
              </w:rPr>
              <w:t xml:space="preserve">Reference </w:t>
            </w:r>
          </w:p>
        </w:tc>
        <w:tc>
          <w:tcPr>
            <w:tcW w:w="2044" w:type="dxa"/>
            <w:gridSpan w:val="2"/>
            <w:shd w:val="clear" w:color="auto" w:fill="auto"/>
          </w:tcPr>
          <w:p w:rsidR="008F7A86" w:rsidRPr="001D4347" w:rsidRDefault="008F7A86" w:rsidP="00CC432F">
            <w:pPr>
              <w:spacing w:line="240" w:lineRule="auto"/>
              <w:rPr>
                <w:rFonts w:ascii="Times New Roman" w:hAnsi="Times New Roman"/>
                <w:b/>
                <w:sz w:val="24"/>
                <w:szCs w:val="24"/>
              </w:rPr>
            </w:pPr>
            <w:r w:rsidRPr="001D4347">
              <w:rPr>
                <w:rFonts w:ascii="Times New Roman" w:hAnsi="Times New Roman"/>
                <w:b/>
                <w:sz w:val="24"/>
                <w:szCs w:val="24"/>
              </w:rPr>
              <w:t>Main Themes</w:t>
            </w:r>
          </w:p>
        </w:tc>
        <w:tc>
          <w:tcPr>
            <w:tcW w:w="1736" w:type="dxa"/>
            <w:gridSpan w:val="2"/>
            <w:shd w:val="clear" w:color="auto" w:fill="auto"/>
          </w:tcPr>
          <w:p w:rsidR="008F7A86" w:rsidRPr="001D4347" w:rsidRDefault="008F7A86" w:rsidP="00CC432F">
            <w:pPr>
              <w:spacing w:line="240" w:lineRule="auto"/>
              <w:rPr>
                <w:rFonts w:ascii="Times New Roman" w:hAnsi="Times New Roman"/>
                <w:b/>
                <w:sz w:val="24"/>
                <w:szCs w:val="24"/>
              </w:rPr>
            </w:pPr>
            <w:r w:rsidRPr="001D4347">
              <w:rPr>
                <w:rFonts w:ascii="Times New Roman" w:hAnsi="Times New Roman"/>
                <w:b/>
                <w:sz w:val="24"/>
                <w:szCs w:val="24"/>
              </w:rPr>
              <w:t xml:space="preserve">Research Question </w:t>
            </w:r>
          </w:p>
        </w:tc>
        <w:tc>
          <w:tcPr>
            <w:tcW w:w="1440" w:type="dxa"/>
            <w:gridSpan w:val="2"/>
            <w:shd w:val="clear" w:color="auto" w:fill="auto"/>
          </w:tcPr>
          <w:p w:rsidR="008F7A86" w:rsidRPr="001D4347" w:rsidRDefault="008F7A86" w:rsidP="00CC432F">
            <w:pPr>
              <w:spacing w:line="240" w:lineRule="auto"/>
              <w:rPr>
                <w:rFonts w:ascii="Times New Roman" w:hAnsi="Times New Roman"/>
                <w:b/>
                <w:sz w:val="24"/>
                <w:szCs w:val="24"/>
              </w:rPr>
            </w:pPr>
            <w:r w:rsidRPr="001D4347">
              <w:rPr>
                <w:rFonts w:ascii="Times New Roman" w:hAnsi="Times New Roman"/>
                <w:b/>
                <w:sz w:val="24"/>
                <w:szCs w:val="24"/>
              </w:rPr>
              <w:t>Theoretical Framework</w:t>
            </w:r>
          </w:p>
        </w:tc>
        <w:tc>
          <w:tcPr>
            <w:tcW w:w="1440" w:type="dxa"/>
            <w:gridSpan w:val="2"/>
            <w:shd w:val="clear" w:color="auto" w:fill="auto"/>
          </w:tcPr>
          <w:p w:rsidR="008F7A86" w:rsidRPr="001D4347" w:rsidRDefault="008F7A86" w:rsidP="00CC432F">
            <w:pPr>
              <w:spacing w:line="240" w:lineRule="auto"/>
              <w:rPr>
                <w:rFonts w:ascii="Times New Roman" w:hAnsi="Times New Roman"/>
                <w:b/>
                <w:sz w:val="24"/>
                <w:szCs w:val="24"/>
              </w:rPr>
            </w:pPr>
            <w:r w:rsidRPr="001D4347">
              <w:rPr>
                <w:rFonts w:ascii="Times New Roman" w:hAnsi="Times New Roman"/>
                <w:b/>
                <w:sz w:val="24"/>
                <w:szCs w:val="24"/>
              </w:rPr>
              <w:t>Population $</w:t>
            </w:r>
          </w:p>
          <w:p w:rsidR="008F7A86" w:rsidRPr="001D4347" w:rsidRDefault="008F7A86" w:rsidP="00CC432F">
            <w:pPr>
              <w:spacing w:line="240" w:lineRule="auto"/>
              <w:rPr>
                <w:rFonts w:ascii="Times New Roman" w:hAnsi="Times New Roman"/>
                <w:b/>
                <w:sz w:val="24"/>
                <w:szCs w:val="24"/>
              </w:rPr>
            </w:pPr>
            <w:r w:rsidRPr="001D4347">
              <w:rPr>
                <w:rFonts w:ascii="Times New Roman" w:hAnsi="Times New Roman"/>
                <w:b/>
                <w:sz w:val="24"/>
                <w:szCs w:val="24"/>
              </w:rPr>
              <w:t xml:space="preserve">Sample Description </w:t>
            </w:r>
          </w:p>
        </w:tc>
        <w:tc>
          <w:tcPr>
            <w:tcW w:w="1350" w:type="dxa"/>
            <w:gridSpan w:val="2"/>
            <w:shd w:val="clear" w:color="auto" w:fill="auto"/>
          </w:tcPr>
          <w:p w:rsidR="008F7A86" w:rsidRPr="001D4347" w:rsidRDefault="008F7A86" w:rsidP="00CC432F">
            <w:pPr>
              <w:spacing w:line="240" w:lineRule="auto"/>
              <w:rPr>
                <w:rFonts w:ascii="Times New Roman" w:hAnsi="Times New Roman"/>
                <w:b/>
                <w:sz w:val="24"/>
                <w:szCs w:val="24"/>
              </w:rPr>
            </w:pPr>
            <w:r w:rsidRPr="001D4347">
              <w:rPr>
                <w:rFonts w:ascii="Times New Roman" w:hAnsi="Times New Roman"/>
                <w:b/>
                <w:sz w:val="24"/>
                <w:szCs w:val="24"/>
              </w:rPr>
              <w:t xml:space="preserve">Methodology </w:t>
            </w:r>
          </w:p>
          <w:p w:rsidR="008F7A86" w:rsidRPr="001D4347" w:rsidRDefault="008F7A86" w:rsidP="00CC432F">
            <w:pPr>
              <w:spacing w:line="240" w:lineRule="auto"/>
              <w:rPr>
                <w:rFonts w:ascii="Times New Roman" w:hAnsi="Times New Roman"/>
                <w:b/>
                <w:sz w:val="24"/>
                <w:szCs w:val="24"/>
              </w:rPr>
            </w:pPr>
            <w:r w:rsidRPr="001D4347">
              <w:rPr>
                <w:rFonts w:ascii="Times New Roman" w:hAnsi="Times New Roman"/>
                <w:b/>
                <w:sz w:val="24"/>
                <w:szCs w:val="24"/>
              </w:rPr>
              <w:t>Design</w:t>
            </w:r>
          </w:p>
        </w:tc>
        <w:tc>
          <w:tcPr>
            <w:tcW w:w="3600" w:type="dxa"/>
            <w:gridSpan w:val="2"/>
            <w:shd w:val="clear" w:color="auto" w:fill="auto"/>
          </w:tcPr>
          <w:p w:rsidR="008F7A86" w:rsidRPr="001D4347" w:rsidRDefault="008F7A86" w:rsidP="00CC432F">
            <w:pPr>
              <w:spacing w:line="240" w:lineRule="auto"/>
              <w:rPr>
                <w:rFonts w:ascii="Times New Roman" w:hAnsi="Times New Roman"/>
                <w:b/>
                <w:sz w:val="24"/>
                <w:szCs w:val="24"/>
              </w:rPr>
            </w:pPr>
            <w:r w:rsidRPr="001D4347">
              <w:rPr>
                <w:rFonts w:ascii="Times New Roman" w:hAnsi="Times New Roman"/>
                <w:b/>
                <w:sz w:val="24"/>
                <w:szCs w:val="24"/>
              </w:rPr>
              <w:t xml:space="preserve">Summary/ Findings </w:t>
            </w:r>
          </w:p>
        </w:tc>
      </w:tr>
      <w:tr w:rsidR="008F7A86" w:rsidRPr="001D4347" w:rsidTr="00CC432F">
        <w:trPr>
          <w:gridAfter w:val="1"/>
          <w:wAfter w:w="113" w:type="dxa"/>
        </w:trPr>
        <w:tc>
          <w:tcPr>
            <w:tcW w:w="4140" w:type="dxa"/>
            <w:shd w:val="clear" w:color="auto" w:fill="auto"/>
          </w:tcPr>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Bettencourt, G. M., Mansour, K. E., Hedayet, M., Feraud-King, P. T., Stephens, K. J., Tejada, M. M., &amp; Kimball, E. (2020). Is First-Gen an Identity? How first-generation college students make meaning of institutional and familial constructions of self. </w:t>
            </w:r>
            <w:r w:rsidRPr="001D4347">
              <w:rPr>
                <w:rFonts w:ascii="Times New Roman" w:hAnsi="Times New Roman"/>
                <w:i/>
                <w:iCs/>
                <w:sz w:val="24"/>
                <w:szCs w:val="24"/>
              </w:rPr>
              <w:t>Journal of College Student Retention: Research, Theory &amp; Practice</w:t>
            </w:r>
            <w:r w:rsidRPr="001D4347">
              <w:rPr>
                <w:rFonts w:ascii="Times New Roman" w:hAnsi="Times New Roman"/>
                <w:sz w:val="24"/>
                <w:szCs w:val="24"/>
              </w:rPr>
              <w:t>. </w:t>
            </w:r>
            <w:hyperlink r:id="rId4" w:history="1">
              <w:r w:rsidRPr="001D4347">
                <w:rPr>
                  <w:rStyle w:val="Hyperlink"/>
                  <w:rFonts w:ascii="Times New Roman" w:hAnsi="Times New Roman"/>
                  <w:sz w:val="24"/>
                  <w:szCs w:val="24"/>
                </w:rPr>
                <w:t>https://doi.org/10.1177/1521025120913302</w:t>
              </w:r>
            </w:hyperlink>
          </w:p>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p>
        </w:tc>
        <w:tc>
          <w:tcPr>
            <w:tcW w:w="2044" w:type="dxa"/>
            <w:gridSpan w:val="2"/>
            <w:shd w:val="clear" w:color="auto" w:fill="auto"/>
          </w:tcPr>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 xml:space="preserve">Organizational Identity, social identity, causes of variation in social identity, alienation from campus environment and their family,  meaning of ﬁrst-generation status, </w:t>
            </w:r>
          </w:p>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 xml:space="preserve">Issues affecting first generation students, Needs of first generation students, Institutional support, obstacles impacting the success of first generation students, role of parents in the success of first generation students   </w:t>
            </w:r>
          </w:p>
        </w:tc>
        <w:tc>
          <w:tcPr>
            <w:tcW w:w="1736" w:type="dxa"/>
            <w:gridSpan w:val="2"/>
            <w:shd w:val="clear" w:color="auto" w:fill="auto"/>
          </w:tcPr>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 xml:space="preserve">(a) How do ﬁrst-generation college students make meaning of their ﬁrst-generation status? </w:t>
            </w:r>
          </w:p>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 xml:space="preserve"> (b) How does this meaning making relate to student identity construction in both institutional and familial contexts?</w:t>
            </w:r>
          </w:p>
        </w:tc>
        <w:tc>
          <w:tcPr>
            <w:tcW w:w="1440" w:type="dxa"/>
            <w:gridSpan w:val="2"/>
            <w:shd w:val="clear" w:color="auto" w:fill="auto"/>
          </w:tcPr>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 xml:space="preserve">The concept of meaning in understanding a group’s status </w:t>
            </w:r>
          </w:p>
        </w:tc>
        <w:tc>
          <w:tcPr>
            <w:tcW w:w="1440" w:type="dxa"/>
            <w:gridSpan w:val="2"/>
            <w:shd w:val="clear" w:color="auto" w:fill="auto"/>
          </w:tcPr>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 xml:space="preserve">N = 54 students drawn from 13 focus groups averaging 4 per group  </w:t>
            </w:r>
          </w:p>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Undergraduates identifying themselves as ﬁrst-generation college students</w:t>
            </w:r>
          </w:p>
        </w:tc>
        <w:tc>
          <w:tcPr>
            <w:tcW w:w="1350" w:type="dxa"/>
            <w:gridSpan w:val="2"/>
            <w:shd w:val="clear" w:color="auto" w:fill="auto"/>
          </w:tcPr>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Exploratory qualitative study</w:t>
            </w:r>
          </w:p>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 xml:space="preserve">Focus group discussions </w:t>
            </w:r>
          </w:p>
        </w:tc>
        <w:tc>
          <w:tcPr>
            <w:tcW w:w="3600" w:type="dxa"/>
            <w:gridSpan w:val="2"/>
            <w:shd w:val="clear" w:color="auto" w:fill="auto"/>
          </w:tcPr>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Students saw first-generation status as an organizational and familial identity rather than social identities. This status was connected to alterity and social distance that was most salient in comparison to continuing-generation peers. Consequently, identifying as ﬁrst-generation is a way to communicate the difference to others in an institutionally recognized manner. The meaning-making process around an organizational identity is critical to building a form of resilience in organizational spaces that were not built for ﬁrst-generation college students.</w:t>
            </w:r>
          </w:p>
        </w:tc>
      </w:tr>
      <w:tr w:rsidR="008F7A86" w:rsidRPr="001D4347" w:rsidTr="00CC432F">
        <w:trPr>
          <w:gridAfter w:val="1"/>
          <w:wAfter w:w="113" w:type="dxa"/>
        </w:trPr>
        <w:tc>
          <w:tcPr>
            <w:tcW w:w="4140" w:type="dxa"/>
            <w:shd w:val="clear" w:color="auto" w:fill="auto"/>
          </w:tcPr>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Manzoni, A., &amp; Streib, J. (2019). The equalizing power of a college degree for first-generation college students: disparities across institutions, majors, and achievement levels. </w:t>
            </w:r>
            <w:r w:rsidRPr="001D4347">
              <w:rPr>
                <w:rFonts w:ascii="Times New Roman" w:hAnsi="Times New Roman"/>
                <w:i/>
                <w:iCs/>
                <w:sz w:val="24"/>
                <w:szCs w:val="24"/>
              </w:rPr>
              <w:t>Research in Higher Education</w:t>
            </w:r>
            <w:r w:rsidRPr="001D4347">
              <w:rPr>
                <w:rFonts w:ascii="Times New Roman" w:hAnsi="Times New Roman"/>
                <w:sz w:val="24"/>
                <w:szCs w:val="24"/>
              </w:rPr>
              <w:t>, </w:t>
            </w:r>
            <w:r w:rsidRPr="001D4347">
              <w:rPr>
                <w:rFonts w:ascii="Times New Roman" w:hAnsi="Times New Roman"/>
                <w:i/>
                <w:iCs/>
                <w:sz w:val="24"/>
                <w:szCs w:val="24"/>
              </w:rPr>
              <w:t>60</w:t>
            </w:r>
            <w:r w:rsidRPr="001D4347">
              <w:rPr>
                <w:rFonts w:ascii="Times New Roman" w:hAnsi="Times New Roman"/>
                <w:sz w:val="24"/>
                <w:szCs w:val="24"/>
              </w:rPr>
              <w:t xml:space="preserve">(5), 577. </w:t>
            </w:r>
            <w:hyperlink r:id="rId5" w:history="1">
              <w:r w:rsidRPr="001D4347">
                <w:rPr>
                  <w:rStyle w:val="Hyperlink"/>
                  <w:rFonts w:ascii="Times New Roman" w:hAnsi="Times New Roman"/>
                  <w:sz w:val="24"/>
                  <w:szCs w:val="24"/>
                </w:rPr>
                <w:t>https://doi.org/10.1007/s11162-018-9523-1</w:t>
              </w:r>
            </w:hyperlink>
            <w:r w:rsidRPr="001D4347">
              <w:rPr>
                <w:rFonts w:ascii="Times New Roman" w:hAnsi="Times New Roman"/>
                <w:sz w:val="24"/>
                <w:szCs w:val="24"/>
              </w:rPr>
              <w:t xml:space="preserve"> </w:t>
            </w:r>
          </w:p>
        </w:tc>
        <w:tc>
          <w:tcPr>
            <w:tcW w:w="2044" w:type="dxa"/>
            <w:gridSpan w:val="2"/>
            <w:shd w:val="clear" w:color="auto" w:fill="auto"/>
          </w:tcPr>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 xml:space="preserve">Generational Wage Gap, equality, wage structure, wage discrimination,  knowledge gap, horizontal stratification, social mobility, labor market, undue (dis)advantages in social mobility, leveling power of a college degree, influence of  cultural and social capital on economic capital </w:t>
            </w:r>
          </w:p>
        </w:tc>
        <w:tc>
          <w:tcPr>
            <w:tcW w:w="1736" w:type="dxa"/>
            <w:gridSpan w:val="2"/>
            <w:shd w:val="clear" w:color="auto" w:fill="auto"/>
          </w:tcPr>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 xml:space="preserve">a. To what extent does generational wage gap exists at a life stage when graduates' wages approach stabilization? </w:t>
            </w:r>
          </w:p>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b. How does generational wage gap vary among graduates from the same type of university and major and with the same level of achievement?</w:t>
            </w:r>
          </w:p>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 xml:space="preserve"> c. To what extent does wage gap exist due to educational factors, labor market factors, or both? </w:t>
            </w:r>
          </w:p>
        </w:tc>
        <w:tc>
          <w:tcPr>
            <w:tcW w:w="1440" w:type="dxa"/>
            <w:gridSpan w:val="2"/>
            <w:shd w:val="clear" w:color="auto" w:fill="auto"/>
          </w:tcPr>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Lucas Effectively maintained inequality theory  (EMI)</w:t>
            </w:r>
          </w:p>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 xml:space="preserve"> Bourdieu's theories of distinction and capital exchange</w:t>
            </w:r>
          </w:p>
        </w:tc>
        <w:tc>
          <w:tcPr>
            <w:tcW w:w="1440" w:type="dxa"/>
            <w:gridSpan w:val="2"/>
            <w:shd w:val="clear" w:color="auto" w:fill="auto"/>
          </w:tcPr>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N=7380 students employed in 2003 and graduated before age 40</w:t>
            </w:r>
          </w:p>
        </w:tc>
        <w:tc>
          <w:tcPr>
            <w:tcW w:w="1350" w:type="dxa"/>
            <w:gridSpan w:val="2"/>
            <w:shd w:val="clear" w:color="auto" w:fill="auto"/>
          </w:tcPr>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 xml:space="preserve">Descriptive Statistics </w:t>
            </w:r>
          </w:p>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 xml:space="preserve">1993/2003 Baccalaureate and Beyond Longitudinal Study data </w:t>
            </w:r>
          </w:p>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Historical survey of college graduates</w:t>
            </w:r>
          </w:p>
        </w:tc>
        <w:tc>
          <w:tcPr>
            <w:tcW w:w="3600" w:type="dxa"/>
            <w:gridSpan w:val="2"/>
            <w:shd w:val="clear" w:color="auto" w:fill="auto"/>
          </w:tcPr>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A substantial overall generational wage gap and uneven wage gaps exists across institutions, majors, and achievement levels. Notably, generational wage gap differs by gender with the gap being smaller among woman than among men. However, most of these gaps disappear when considering first- and continuing-generation students with the same graduate degrees, labor market sectors, jobs, locations, hours worked, and demographic traits. For this reason, generational wage gap largely results from how first- and continuing-generation students are distributed in the labor market.</w:t>
            </w:r>
          </w:p>
        </w:tc>
      </w:tr>
      <w:tr w:rsidR="008F7A86" w:rsidRPr="001D4347" w:rsidTr="00CC432F">
        <w:trPr>
          <w:gridAfter w:val="1"/>
          <w:wAfter w:w="113" w:type="dxa"/>
        </w:trPr>
        <w:tc>
          <w:tcPr>
            <w:tcW w:w="4140" w:type="dxa"/>
            <w:shd w:val="clear" w:color="auto" w:fill="auto"/>
          </w:tcPr>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 xml:space="preserve">Nin, 0.F., &amp; Keeton, R. (2020). Challenges and realizations of first-generation students who navigated through transfer momentum points. </w:t>
            </w:r>
            <w:r w:rsidRPr="001D4347">
              <w:rPr>
                <w:rFonts w:ascii="Times New Roman" w:hAnsi="Times New Roman"/>
                <w:i/>
                <w:sz w:val="24"/>
                <w:szCs w:val="24"/>
              </w:rPr>
              <w:t>Community College Journal of Research and Practice,</w:t>
            </w:r>
            <w:r w:rsidRPr="001D4347">
              <w:rPr>
                <w:rFonts w:ascii="Times New Roman" w:hAnsi="Times New Roman"/>
                <w:sz w:val="24"/>
                <w:szCs w:val="24"/>
              </w:rPr>
              <w:t xml:space="preserve"> </w:t>
            </w:r>
            <w:r w:rsidRPr="001D4347">
              <w:rPr>
                <w:rFonts w:ascii="Times New Roman" w:hAnsi="Times New Roman"/>
                <w:i/>
                <w:sz w:val="24"/>
                <w:szCs w:val="24"/>
              </w:rPr>
              <w:t>44</w:t>
            </w:r>
            <w:r w:rsidRPr="001D4347">
              <w:rPr>
                <w:rFonts w:ascii="Times New Roman" w:hAnsi="Times New Roman"/>
                <w:sz w:val="24"/>
                <w:szCs w:val="24"/>
              </w:rPr>
              <w:t>(4), 273-</w:t>
            </w:r>
          </w:p>
          <w:p w:rsidR="008F7A86" w:rsidRPr="001D4347" w:rsidRDefault="008F7A86" w:rsidP="00CC432F">
            <w:pPr>
              <w:spacing w:line="240" w:lineRule="auto"/>
              <w:rPr>
                <w:rFonts w:ascii="Times New Roman" w:hAnsi="Times New Roman"/>
                <w:color w:val="0070C0"/>
                <w:sz w:val="24"/>
                <w:szCs w:val="24"/>
              </w:rPr>
            </w:pPr>
            <w:r w:rsidRPr="001D4347">
              <w:rPr>
                <w:rFonts w:ascii="Times New Roman" w:hAnsi="Times New Roman"/>
                <w:sz w:val="24"/>
                <w:szCs w:val="24"/>
              </w:rPr>
              <w:t xml:space="preserve">287. </w:t>
            </w:r>
            <w:r w:rsidRPr="001D4347">
              <w:rPr>
                <w:rFonts w:ascii="Times New Roman" w:hAnsi="Times New Roman"/>
                <w:color w:val="0070C0"/>
                <w:sz w:val="24"/>
                <w:szCs w:val="24"/>
              </w:rPr>
              <w:t>https://doi.org/ 10.1080/10668926.2019.</w:t>
            </w:r>
          </w:p>
          <w:p w:rsidR="008F7A86" w:rsidRPr="001D4347" w:rsidRDefault="008F7A86" w:rsidP="00CC432F">
            <w:pPr>
              <w:spacing w:line="240" w:lineRule="auto"/>
              <w:rPr>
                <w:rFonts w:ascii="Times New Roman" w:hAnsi="Times New Roman"/>
                <w:sz w:val="24"/>
                <w:szCs w:val="24"/>
              </w:rPr>
            </w:pPr>
            <w:r w:rsidRPr="001D4347">
              <w:rPr>
                <w:rFonts w:ascii="Times New Roman" w:hAnsi="Times New Roman"/>
                <w:color w:val="0070C0"/>
                <w:sz w:val="24"/>
                <w:szCs w:val="24"/>
              </w:rPr>
              <w:t>158530</w:t>
            </w:r>
          </w:p>
        </w:tc>
        <w:tc>
          <w:tcPr>
            <w:tcW w:w="2044" w:type="dxa"/>
            <w:gridSpan w:val="2"/>
            <w:shd w:val="clear" w:color="auto" w:fill="auto"/>
          </w:tcPr>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Influence of persistence and retention on transfer and completion rates for community college students, institutional support systems, internal locus of control,  motivation to complete college, comparative completion rates, student persistence, student retention, impact of environment, student intentions, and attitudes on completion and school dropout, impact of institutional agents on students  success, continuous attendance</w:t>
            </w:r>
          </w:p>
        </w:tc>
        <w:tc>
          <w:tcPr>
            <w:tcW w:w="1736" w:type="dxa"/>
            <w:gridSpan w:val="2"/>
            <w:shd w:val="clear" w:color="auto" w:fill="auto"/>
          </w:tcPr>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How do first-generation college students describe their experiences in community college as they navigate through the process of transferring to a four-year institution?</w:t>
            </w:r>
          </w:p>
        </w:tc>
        <w:tc>
          <w:tcPr>
            <w:tcW w:w="1440" w:type="dxa"/>
            <w:gridSpan w:val="2"/>
            <w:shd w:val="clear" w:color="auto" w:fill="auto"/>
          </w:tcPr>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 xml:space="preserve">Bean and Eaton psychological model of student retention </w:t>
            </w:r>
          </w:p>
        </w:tc>
        <w:tc>
          <w:tcPr>
            <w:tcW w:w="1440" w:type="dxa"/>
            <w:gridSpan w:val="2"/>
            <w:shd w:val="clear" w:color="auto" w:fill="auto"/>
          </w:tcPr>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 xml:space="preserve">N= 10 </w:t>
            </w:r>
          </w:p>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10 (five women</w:t>
            </w:r>
          </w:p>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and five men) first-generation college students from California Community College with similar characteristic on units completed, PA, English and</w:t>
            </w:r>
          </w:p>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 xml:space="preserve">math level, and college  attendance </w:t>
            </w:r>
          </w:p>
        </w:tc>
        <w:tc>
          <w:tcPr>
            <w:tcW w:w="1350" w:type="dxa"/>
            <w:gridSpan w:val="2"/>
            <w:shd w:val="clear" w:color="auto" w:fill="auto"/>
          </w:tcPr>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Qualitative study</w:t>
            </w:r>
          </w:p>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Purposeful sampling</w:t>
            </w:r>
          </w:p>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 xml:space="preserve">Personal Interviews </w:t>
            </w:r>
          </w:p>
        </w:tc>
        <w:tc>
          <w:tcPr>
            <w:tcW w:w="3600" w:type="dxa"/>
            <w:gridSpan w:val="2"/>
            <w:shd w:val="clear" w:color="auto" w:fill="auto"/>
          </w:tcPr>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 xml:space="preserve">Transferring first-generation community college students experienced challenges in the process including financing their education and feeling isolated. The setbacks experienced during the transfer process encouraged students to develop adaptive mechanisms such as developing financial awareness, utilizing support systems and campus resources, staying focused and hopeful, and finding their drive to succeed. </w:t>
            </w:r>
          </w:p>
        </w:tc>
      </w:tr>
      <w:tr w:rsidR="008F7A86" w:rsidRPr="001D4347" w:rsidTr="001D4347">
        <w:tc>
          <w:tcPr>
            <w:tcW w:w="4253" w:type="dxa"/>
            <w:gridSpan w:val="2"/>
            <w:shd w:val="clear" w:color="auto" w:fill="auto"/>
          </w:tcPr>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 xml:space="preserve">Smith, J., &amp; Brinkman, S. (2021). Information seeking anxiety and preferred information sources of first-generation college students. </w:t>
            </w:r>
            <w:r w:rsidRPr="001D4347">
              <w:rPr>
                <w:rFonts w:ascii="Times New Roman" w:hAnsi="Times New Roman"/>
                <w:i/>
                <w:sz w:val="24"/>
                <w:szCs w:val="24"/>
              </w:rPr>
              <w:t xml:space="preserve">Evidence Based Library and Information Practice, 16(1), </w:t>
            </w:r>
            <w:r w:rsidRPr="001D4347">
              <w:rPr>
                <w:rFonts w:ascii="Times New Roman" w:hAnsi="Times New Roman"/>
                <w:sz w:val="24"/>
                <w:szCs w:val="24"/>
              </w:rPr>
              <w:t>5-24. https://doi.org/ 10.18438/eblip29843</w:t>
            </w:r>
          </w:p>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 xml:space="preserve"> </w:t>
            </w:r>
          </w:p>
        </w:tc>
        <w:tc>
          <w:tcPr>
            <w:tcW w:w="2044" w:type="dxa"/>
            <w:gridSpan w:val="2"/>
            <w:shd w:val="clear" w:color="auto" w:fill="auto"/>
          </w:tcPr>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 xml:space="preserve">Anxiety among college students when seeking information, levels of information seeking anxiety, sources of Information for college students, Preferred information sources, students’ information seeking strategies, student self-perceptions of their information seeking abilities, impact of parent education level on students information seeking strategies </w:t>
            </w:r>
          </w:p>
        </w:tc>
        <w:tc>
          <w:tcPr>
            <w:tcW w:w="1736" w:type="dxa"/>
            <w:gridSpan w:val="2"/>
            <w:shd w:val="clear" w:color="auto" w:fill="auto"/>
          </w:tcPr>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 xml:space="preserve">Q1: Do students report different levels of anxiety in seeking information on college campuses based on generational status?   </w:t>
            </w:r>
          </w:p>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 xml:space="preserve">Q2: Do students of different generational statuses report different preferences for information sources about questions related to academics?   </w:t>
            </w:r>
          </w:p>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 xml:space="preserve">Q3: Do students of different generational statuses report different preferences for information sources about questions related to college life?   </w:t>
            </w:r>
          </w:p>
        </w:tc>
        <w:tc>
          <w:tcPr>
            <w:tcW w:w="1440" w:type="dxa"/>
            <w:gridSpan w:val="2"/>
            <w:shd w:val="clear" w:color="auto" w:fill="auto"/>
          </w:tcPr>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The Dunning-Kruger Effect on cognitive bias</w:t>
            </w:r>
          </w:p>
        </w:tc>
        <w:tc>
          <w:tcPr>
            <w:tcW w:w="1440" w:type="dxa"/>
            <w:gridSpan w:val="2"/>
            <w:shd w:val="clear" w:color="auto" w:fill="auto"/>
          </w:tcPr>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 xml:space="preserve">N= 534 </w:t>
            </w:r>
          </w:p>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Students from 2 public, 4-year residential universities</w:t>
            </w:r>
          </w:p>
        </w:tc>
        <w:tc>
          <w:tcPr>
            <w:tcW w:w="1350" w:type="dxa"/>
            <w:gridSpan w:val="2"/>
            <w:shd w:val="clear" w:color="auto" w:fill="auto"/>
          </w:tcPr>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Online survey disseminated at two public college campuses</w:t>
            </w:r>
          </w:p>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 xml:space="preserve">Follow up emails to encourage participation </w:t>
            </w:r>
          </w:p>
        </w:tc>
        <w:tc>
          <w:tcPr>
            <w:tcW w:w="3600" w:type="dxa"/>
            <w:gridSpan w:val="2"/>
            <w:shd w:val="clear" w:color="auto" w:fill="auto"/>
          </w:tcPr>
          <w:p w:rsidR="008F7A86" w:rsidRPr="001D4347" w:rsidRDefault="008F7A86" w:rsidP="00CC432F">
            <w:pPr>
              <w:spacing w:line="240" w:lineRule="auto"/>
              <w:rPr>
                <w:rFonts w:ascii="Times New Roman" w:hAnsi="Times New Roman"/>
                <w:sz w:val="24"/>
                <w:szCs w:val="24"/>
              </w:rPr>
            </w:pPr>
            <w:r w:rsidRPr="001D4347">
              <w:rPr>
                <w:rFonts w:ascii="Times New Roman" w:hAnsi="Times New Roman"/>
                <w:sz w:val="24"/>
                <w:szCs w:val="24"/>
              </w:rPr>
              <w:t>No significant differences in overall information seeking anxiety were found between students whose parents had differing levels of experience with college. First-generation students with the least direct experience with college reporting higher levels of anxiety at different years in college than their peers. Institutional or generational differences may also influence whether students ask for information from their peers, librarians, tutoring centers, professors, or advisors.</w:t>
            </w:r>
          </w:p>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p>
          <w:p w:rsidR="008F7A86" w:rsidRPr="001D4347" w:rsidRDefault="008F7A86" w:rsidP="00CC432F">
            <w:pPr>
              <w:spacing w:line="240" w:lineRule="auto"/>
              <w:rPr>
                <w:rFonts w:ascii="Times New Roman" w:hAnsi="Times New Roman"/>
                <w:sz w:val="24"/>
                <w:szCs w:val="24"/>
              </w:rPr>
            </w:pPr>
          </w:p>
        </w:tc>
      </w:tr>
    </w:tbl>
    <w:p w:rsidR="008F7A86" w:rsidRPr="001D4347" w:rsidRDefault="008F7A86" w:rsidP="008F7A86">
      <w:pPr>
        <w:rPr>
          <w:rFonts w:ascii="Times New Roman" w:hAnsi="Times New Roman"/>
          <w:sz w:val="24"/>
          <w:szCs w:val="24"/>
        </w:rPr>
      </w:pPr>
    </w:p>
    <w:p w:rsidR="004D55CF" w:rsidRDefault="004D55CF" w:rsidP="008F7A86">
      <w:pPr>
        <w:jc w:val="center"/>
        <w:rPr>
          <w:rFonts w:ascii="Times New Roman" w:hAnsi="Times New Roman"/>
          <w:sz w:val="24"/>
          <w:szCs w:val="24"/>
        </w:rPr>
      </w:pPr>
    </w:p>
    <w:p w:rsidR="004D55CF" w:rsidRDefault="004D55CF" w:rsidP="008F7A86">
      <w:pPr>
        <w:jc w:val="center"/>
        <w:rPr>
          <w:rFonts w:ascii="Times New Roman" w:hAnsi="Times New Roman"/>
          <w:sz w:val="24"/>
          <w:szCs w:val="24"/>
        </w:rPr>
      </w:pPr>
    </w:p>
    <w:p w:rsidR="008F7A86" w:rsidRPr="001D4347" w:rsidRDefault="008F7A86" w:rsidP="008F7A86">
      <w:pPr>
        <w:jc w:val="center"/>
        <w:rPr>
          <w:rFonts w:ascii="Times New Roman" w:hAnsi="Times New Roman"/>
          <w:sz w:val="24"/>
          <w:szCs w:val="24"/>
        </w:rPr>
      </w:pPr>
      <w:r w:rsidRPr="001D4347">
        <w:rPr>
          <w:rFonts w:ascii="Times New Roman" w:hAnsi="Times New Roman"/>
          <w:sz w:val="24"/>
          <w:szCs w:val="24"/>
        </w:rPr>
        <w:t>References</w:t>
      </w:r>
    </w:p>
    <w:p w:rsidR="008F7A86" w:rsidRPr="001D4347" w:rsidRDefault="008F7A86" w:rsidP="008F7A86">
      <w:pPr>
        <w:ind w:left="720" w:hanging="720"/>
        <w:contextualSpacing/>
        <w:rPr>
          <w:rFonts w:ascii="Times New Roman" w:hAnsi="Times New Roman"/>
          <w:sz w:val="24"/>
          <w:szCs w:val="24"/>
        </w:rPr>
      </w:pPr>
      <w:r w:rsidRPr="001D4347">
        <w:rPr>
          <w:rFonts w:ascii="Times New Roman" w:hAnsi="Times New Roman"/>
          <w:sz w:val="24"/>
          <w:szCs w:val="24"/>
        </w:rPr>
        <w:t>Bettencourt, G. M., Mansour, K. E., Hedayet, M., Feraud-King, P. T., Stephens, K. J., Tejada, M. M., &amp; Kimball, E. (2020). Is first-gen an identity? How first-generation college students make meaning of institutional and familial constructions of self. </w:t>
      </w:r>
      <w:r w:rsidRPr="001D4347">
        <w:rPr>
          <w:rFonts w:ascii="Times New Roman" w:hAnsi="Times New Roman"/>
          <w:i/>
          <w:iCs/>
          <w:sz w:val="24"/>
          <w:szCs w:val="24"/>
        </w:rPr>
        <w:t>Journal of College Student Retention: Research, Theory &amp; Practice</w:t>
      </w:r>
      <w:r w:rsidRPr="001D4347">
        <w:rPr>
          <w:rFonts w:ascii="Times New Roman" w:hAnsi="Times New Roman"/>
          <w:sz w:val="24"/>
          <w:szCs w:val="24"/>
        </w:rPr>
        <w:t>. </w:t>
      </w:r>
      <w:hyperlink r:id="rId6" w:history="1">
        <w:r w:rsidRPr="001D4347">
          <w:rPr>
            <w:rStyle w:val="Hyperlink"/>
            <w:rFonts w:ascii="Times New Roman" w:hAnsi="Times New Roman"/>
            <w:sz w:val="24"/>
            <w:szCs w:val="24"/>
          </w:rPr>
          <w:t>https://doi.org/10.1177/1521025120913302</w:t>
        </w:r>
      </w:hyperlink>
    </w:p>
    <w:p w:rsidR="008F7A86" w:rsidRPr="001D4347" w:rsidRDefault="008F7A86" w:rsidP="008F7A86">
      <w:pPr>
        <w:ind w:left="720" w:hanging="720"/>
        <w:contextualSpacing/>
        <w:rPr>
          <w:rFonts w:ascii="Times New Roman" w:hAnsi="Times New Roman"/>
          <w:sz w:val="24"/>
          <w:szCs w:val="24"/>
        </w:rPr>
      </w:pPr>
      <w:r w:rsidRPr="001D4347">
        <w:rPr>
          <w:rFonts w:ascii="Times New Roman" w:hAnsi="Times New Roman"/>
          <w:sz w:val="24"/>
          <w:szCs w:val="24"/>
        </w:rPr>
        <w:t>Manzoni, A., &amp; Streib, J. (2019). The equalizing power of a college degree for first-generation college students: disparities across institutions, majors, and achievement levels. </w:t>
      </w:r>
      <w:r w:rsidRPr="001D4347">
        <w:rPr>
          <w:rFonts w:ascii="Times New Roman" w:hAnsi="Times New Roman"/>
          <w:i/>
          <w:iCs/>
          <w:sz w:val="24"/>
          <w:szCs w:val="24"/>
        </w:rPr>
        <w:t>Research in Higher Education</w:t>
      </w:r>
      <w:r w:rsidRPr="001D4347">
        <w:rPr>
          <w:rFonts w:ascii="Times New Roman" w:hAnsi="Times New Roman"/>
          <w:sz w:val="24"/>
          <w:szCs w:val="24"/>
        </w:rPr>
        <w:t>, </w:t>
      </w:r>
      <w:r w:rsidRPr="001D4347">
        <w:rPr>
          <w:rFonts w:ascii="Times New Roman" w:hAnsi="Times New Roman"/>
          <w:i/>
          <w:iCs/>
          <w:sz w:val="24"/>
          <w:szCs w:val="24"/>
        </w:rPr>
        <w:t>60</w:t>
      </w:r>
      <w:r w:rsidRPr="001D4347">
        <w:rPr>
          <w:rFonts w:ascii="Times New Roman" w:hAnsi="Times New Roman"/>
          <w:sz w:val="24"/>
          <w:szCs w:val="24"/>
        </w:rPr>
        <w:t xml:space="preserve">(5), 577. </w:t>
      </w:r>
      <w:hyperlink r:id="rId7" w:history="1">
        <w:r w:rsidRPr="001D4347">
          <w:rPr>
            <w:rStyle w:val="Hyperlink"/>
            <w:rFonts w:ascii="Times New Roman" w:hAnsi="Times New Roman"/>
            <w:sz w:val="24"/>
            <w:szCs w:val="24"/>
          </w:rPr>
          <w:t>https://doi.org/10.1007/s11162-018-9523-1</w:t>
        </w:r>
      </w:hyperlink>
    </w:p>
    <w:p w:rsidR="008F7A86" w:rsidRPr="001D4347" w:rsidRDefault="008F7A86" w:rsidP="008F7A86">
      <w:pPr>
        <w:ind w:left="720" w:hanging="720"/>
        <w:contextualSpacing/>
        <w:rPr>
          <w:rFonts w:ascii="Times New Roman" w:hAnsi="Times New Roman"/>
          <w:sz w:val="24"/>
          <w:szCs w:val="24"/>
        </w:rPr>
      </w:pPr>
      <w:r w:rsidRPr="001D4347">
        <w:rPr>
          <w:rFonts w:ascii="Times New Roman" w:hAnsi="Times New Roman"/>
          <w:sz w:val="24"/>
          <w:szCs w:val="24"/>
        </w:rPr>
        <w:t xml:space="preserve">Nin, 0.F., &amp; Keeton, R. (2020). Challenges and realizations of first-generation students who navigated through transfer momentum points. </w:t>
      </w:r>
      <w:r w:rsidRPr="001D4347">
        <w:rPr>
          <w:rFonts w:ascii="Times New Roman" w:hAnsi="Times New Roman"/>
          <w:i/>
          <w:sz w:val="24"/>
          <w:szCs w:val="24"/>
        </w:rPr>
        <w:t>Community College Journal of Research and Practice,</w:t>
      </w:r>
      <w:r w:rsidRPr="001D4347">
        <w:rPr>
          <w:rFonts w:ascii="Times New Roman" w:hAnsi="Times New Roman"/>
          <w:sz w:val="24"/>
          <w:szCs w:val="24"/>
        </w:rPr>
        <w:t xml:space="preserve"> </w:t>
      </w:r>
      <w:r w:rsidRPr="001D4347">
        <w:rPr>
          <w:rFonts w:ascii="Times New Roman" w:hAnsi="Times New Roman"/>
          <w:i/>
          <w:sz w:val="24"/>
          <w:szCs w:val="24"/>
        </w:rPr>
        <w:t>44</w:t>
      </w:r>
      <w:r w:rsidRPr="001D4347">
        <w:rPr>
          <w:rFonts w:ascii="Times New Roman" w:hAnsi="Times New Roman"/>
          <w:sz w:val="24"/>
          <w:szCs w:val="24"/>
        </w:rPr>
        <w:t xml:space="preserve">(4), 273-287. </w:t>
      </w:r>
      <w:r w:rsidRPr="001D4347">
        <w:rPr>
          <w:rFonts w:ascii="Times New Roman" w:hAnsi="Times New Roman"/>
          <w:color w:val="0070C0"/>
          <w:sz w:val="24"/>
          <w:szCs w:val="24"/>
        </w:rPr>
        <w:t>https://doi.org/ 10.1080/10668926.2019.158530</w:t>
      </w:r>
    </w:p>
    <w:p w:rsidR="008F7A86" w:rsidRPr="001D4347" w:rsidRDefault="008F7A86" w:rsidP="008F7A86">
      <w:pPr>
        <w:ind w:left="720" w:hanging="720"/>
        <w:contextualSpacing/>
        <w:rPr>
          <w:rFonts w:ascii="Times New Roman" w:hAnsi="Times New Roman"/>
          <w:sz w:val="24"/>
          <w:szCs w:val="24"/>
        </w:rPr>
      </w:pPr>
      <w:r w:rsidRPr="001D4347">
        <w:rPr>
          <w:rFonts w:ascii="Times New Roman" w:hAnsi="Times New Roman"/>
          <w:sz w:val="24"/>
          <w:szCs w:val="24"/>
        </w:rPr>
        <w:t xml:space="preserve">Smith, J., &amp; Brinkman, S. (2021). Information seeking anxiety and preferred information sources of first-generation college students. </w:t>
      </w:r>
      <w:r w:rsidRPr="001D4347">
        <w:rPr>
          <w:rFonts w:ascii="Times New Roman" w:hAnsi="Times New Roman"/>
          <w:i/>
          <w:sz w:val="24"/>
          <w:szCs w:val="24"/>
        </w:rPr>
        <w:t xml:space="preserve">Evidence Based Library and Information Practice, 16(1), </w:t>
      </w:r>
      <w:r w:rsidRPr="001D4347">
        <w:rPr>
          <w:rFonts w:ascii="Times New Roman" w:hAnsi="Times New Roman"/>
          <w:sz w:val="24"/>
          <w:szCs w:val="24"/>
        </w:rPr>
        <w:t>5-24. https://doi.org/ 10.18438/eblip29843</w:t>
      </w:r>
      <w:r w:rsidR="00CC432F">
        <w:rPr>
          <w:rFonts w:ascii="Times New Roman" w:hAnsi="Times New Roman"/>
          <w:sz w:val="24"/>
          <w:szCs w:val="24"/>
        </w:rPr>
        <w:t xml:space="preserve"> </w:t>
      </w:r>
    </w:p>
    <w:p w:rsidR="008F7A86" w:rsidRPr="001D4347" w:rsidRDefault="008F7A86" w:rsidP="008F7A86">
      <w:pPr>
        <w:spacing w:line="360" w:lineRule="auto"/>
        <w:rPr>
          <w:rFonts w:ascii="Times New Roman" w:hAnsi="Times New Roman"/>
          <w:sz w:val="24"/>
          <w:szCs w:val="24"/>
        </w:rPr>
      </w:pPr>
    </w:p>
    <w:p w:rsidR="008F7A86" w:rsidRPr="001D4347" w:rsidRDefault="008F7A86" w:rsidP="008F7A86">
      <w:pPr>
        <w:rPr>
          <w:rFonts w:ascii="Times New Roman" w:hAnsi="Times New Roman"/>
          <w:sz w:val="24"/>
          <w:szCs w:val="24"/>
        </w:rPr>
      </w:pPr>
    </w:p>
    <w:p w:rsidR="008F7A86" w:rsidRPr="001D4347" w:rsidRDefault="008F7A86" w:rsidP="008F7A86">
      <w:pPr>
        <w:rPr>
          <w:rFonts w:ascii="Times New Roman" w:hAnsi="Times New Roman"/>
          <w:sz w:val="24"/>
          <w:szCs w:val="24"/>
        </w:rPr>
      </w:pPr>
    </w:p>
    <w:p w:rsidR="00840080" w:rsidRPr="001D4347" w:rsidRDefault="00840080" w:rsidP="008E0AA7">
      <w:pPr>
        <w:jc w:val="center"/>
        <w:rPr>
          <w:rFonts w:ascii="Times New Roman" w:hAnsi="Times New Roman"/>
          <w:sz w:val="24"/>
          <w:szCs w:val="24"/>
        </w:rPr>
      </w:pPr>
    </w:p>
    <w:sectPr w:rsidR="00840080" w:rsidRPr="001D4347" w:rsidSect="000F7DB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A7"/>
    <w:rsid w:val="000F7DBE"/>
    <w:rsid w:val="001D4347"/>
    <w:rsid w:val="00380839"/>
    <w:rsid w:val="004D55CF"/>
    <w:rsid w:val="004E1D3E"/>
    <w:rsid w:val="006A7701"/>
    <w:rsid w:val="00840080"/>
    <w:rsid w:val="008E0AA7"/>
    <w:rsid w:val="008F7A86"/>
    <w:rsid w:val="00956B7E"/>
    <w:rsid w:val="009663D7"/>
    <w:rsid w:val="00A66FD0"/>
    <w:rsid w:val="00AA0272"/>
    <w:rsid w:val="00CC2EE9"/>
    <w:rsid w:val="00CC432F"/>
    <w:rsid w:val="00F96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A491F2C-A2BA-E742-8921-477A14BF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F7A8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yperlink" Target="https://doi.org/10.1007/s11162-018-9523-1"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1177/1521025120913302" TargetMode="External" /><Relationship Id="rId5" Type="http://schemas.openxmlformats.org/officeDocument/2006/relationships/hyperlink" Target="https://doi.org/10.1007/s11162-018-9523-1" TargetMode="External" /><Relationship Id="rId4" Type="http://schemas.openxmlformats.org/officeDocument/2006/relationships/hyperlink" Target="https://doi.org/10.1177/1521025120913302"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1262</Words>
  <Characters>7199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8445</CharactersWithSpaces>
  <SharedDoc>false</SharedDoc>
  <HLinks>
    <vt:vector size="24" baseType="variant">
      <vt:variant>
        <vt:i4>983070</vt:i4>
      </vt:variant>
      <vt:variant>
        <vt:i4>9</vt:i4>
      </vt:variant>
      <vt:variant>
        <vt:i4>0</vt:i4>
      </vt:variant>
      <vt:variant>
        <vt:i4>5</vt:i4>
      </vt:variant>
      <vt:variant>
        <vt:lpwstr>https://doi.org/10.1007/s11162-018-9523-1</vt:lpwstr>
      </vt:variant>
      <vt:variant>
        <vt:lpwstr/>
      </vt:variant>
      <vt:variant>
        <vt:i4>1245266</vt:i4>
      </vt:variant>
      <vt:variant>
        <vt:i4>6</vt:i4>
      </vt:variant>
      <vt:variant>
        <vt:i4>0</vt:i4>
      </vt:variant>
      <vt:variant>
        <vt:i4>5</vt:i4>
      </vt:variant>
      <vt:variant>
        <vt:lpwstr>https://doi.org/10.1177/1521025120913302</vt:lpwstr>
      </vt:variant>
      <vt:variant>
        <vt:lpwstr/>
      </vt:variant>
      <vt:variant>
        <vt:i4>983070</vt:i4>
      </vt:variant>
      <vt:variant>
        <vt:i4>3</vt:i4>
      </vt:variant>
      <vt:variant>
        <vt:i4>0</vt:i4>
      </vt:variant>
      <vt:variant>
        <vt:i4>5</vt:i4>
      </vt:variant>
      <vt:variant>
        <vt:lpwstr>https://doi.org/10.1007/s11162-018-9523-1</vt:lpwstr>
      </vt:variant>
      <vt:variant>
        <vt:lpwstr/>
      </vt:variant>
      <vt:variant>
        <vt:i4>1245266</vt:i4>
      </vt:variant>
      <vt:variant>
        <vt:i4>0</vt:i4>
      </vt:variant>
      <vt:variant>
        <vt:i4>0</vt:i4>
      </vt:variant>
      <vt:variant>
        <vt:i4>5</vt:i4>
      </vt:variant>
      <vt:variant>
        <vt:lpwstr>https://doi.org/10.1177/1521025120913302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Guest User</cp:lastModifiedBy>
  <cp:revision>2</cp:revision>
  <dcterms:created xsi:type="dcterms:W3CDTF">2021-04-30T10:07:00Z</dcterms:created>
  <dcterms:modified xsi:type="dcterms:W3CDTF">2021-04-30T10:07:00Z</dcterms:modified>
</cp:coreProperties>
</file>